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A3" w:rsidRDefault="00463449">
      <w:pPr>
        <w:pStyle w:val="ConsPlusNormal"/>
        <w:ind w:left="4820"/>
        <w:jc w:val="center"/>
        <w:outlineLvl w:val="0"/>
        <w:rPr>
          <w:rFonts w:ascii="Times New Roman" w:hAnsi="Times New Roman" w:cs="Times New Roman"/>
          <w:sz w:val="28"/>
          <w:szCs w:val="28"/>
        </w:rPr>
      </w:pPr>
      <w:r>
        <w:rPr>
          <w:rFonts w:ascii="Times New Roman" w:hAnsi="Times New Roman" w:cs="Times New Roman"/>
          <w:sz w:val="28"/>
          <w:szCs w:val="28"/>
        </w:rPr>
        <w:t>Приложение № 1</w:t>
      </w:r>
    </w:p>
    <w:p w:rsidR="001F69A3" w:rsidRDefault="00463449">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к Методическим указаниям</w:t>
      </w:r>
    </w:p>
    <w:p w:rsidR="001F69A3" w:rsidRDefault="00463449">
      <w:pPr>
        <w:pStyle w:val="ConsPlusNormal"/>
        <w:ind w:left="4820"/>
        <w:jc w:val="center"/>
        <w:rPr>
          <w:rFonts w:ascii="Times New Roman" w:hAnsi="Times New Roman" w:cs="Times New Roman"/>
          <w:sz w:val="28"/>
          <w:szCs w:val="28"/>
        </w:rPr>
      </w:pPr>
      <w:r>
        <w:rPr>
          <w:rFonts w:ascii="Times New Roman" w:hAnsi="Times New Roman" w:cs="Times New Roman"/>
          <w:sz w:val="28"/>
          <w:szCs w:val="28"/>
        </w:rPr>
        <w:t xml:space="preserve">по применению типов результатов </w:t>
      </w:r>
      <w:r>
        <w:rPr>
          <w:rFonts w:ascii="Times New Roman" w:hAnsi="Times New Roman" w:cs="Times New Roman"/>
          <w:sz w:val="28"/>
          <w:szCs w:val="28"/>
        </w:rPr>
        <w:br/>
        <w:t>и  типов контрольных точек федеральных и ведомственных проектов</w:t>
      </w:r>
    </w:p>
    <w:p w:rsidR="001F69A3" w:rsidRDefault="001F69A3">
      <w:pPr>
        <w:pStyle w:val="ConsPlusNormal"/>
        <w:jc w:val="both"/>
        <w:rPr>
          <w:rFonts w:ascii="Times New Roman" w:hAnsi="Times New Roman" w:cs="Times New Roman"/>
          <w:sz w:val="28"/>
          <w:szCs w:val="28"/>
        </w:rPr>
      </w:pPr>
    </w:p>
    <w:p w:rsidR="001F69A3" w:rsidRDefault="001F69A3">
      <w:pPr>
        <w:pStyle w:val="ConsPlusNormal"/>
        <w:jc w:val="both"/>
        <w:rPr>
          <w:rFonts w:ascii="Times New Roman" w:hAnsi="Times New Roman" w:cs="Times New Roman"/>
          <w:sz w:val="28"/>
          <w:szCs w:val="28"/>
        </w:rPr>
      </w:pPr>
    </w:p>
    <w:p w:rsidR="001F69A3" w:rsidRDefault="001F69A3">
      <w:pPr>
        <w:pStyle w:val="ConsPlusNormal"/>
        <w:jc w:val="both"/>
        <w:rPr>
          <w:rFonts w:ascii="Times New Roman" w:hAnsi="Times New Roman" w:cs="Times New Roman"/>
          <w:sz w:val="28"/>
          <w:szCs w:val="28"/>
        </w:rPr>
      </w:pPr>
    </w:p>
    <w:p w:rsidR="001F69A3" w:rsidRDefault="00463449">
      <w:pPr>
        <w:pStyle w:val="ConsPlusTitle"/>
        <w:jc w:val="center"/>
        <w:outlineLvl w:val="1"/>
        <w:rPr>
          <w:rFonts w:ascii="Times New Roman" w:hAnsi="Times New Roman" w:cs="Times New Roman"/>
          <w:sz w:val="28"/>
          <w:szCs w:val="28"/>
          <w:highlight w:val="yellow"/>
        </w:rPr>
      </w:pPr>
      <w:bookmarkStart w:id="0" w:name="P92"/>
      <w:bookmarkEnd w:id="0"/>
      <w:r>
        <w:rPr>
          <w:rFonts w:ascii="Times New Roman" w:hAnsi="Times New Roman" w:cs="Times New Roman"/>
          <w:sz w:val="28"/>
          <w:szCs w:val="28"/>
        </w:rPr>
        <w:t xml:space="preserve">ПЕРЕЧЕНЬ </w:t>
      </w:r>
      <w:r>
        <w:rPr>
          <w:rFonts w:ascii="Times New Roman" w:hAnsi="Times New Roman" w:cs="Times New Roman"/>
          <w:sz w:val="28"/>
          <w:szCs w:val="28"/>
        </w:rPr>
        <w:br/>
        <w:t xml:space="preserve">типов результатов </w:t>
      </w:r>
      <w:r>
        <w:rPr>
          <w:rFonts w:ascii="Times New Roman" w:hAnsi="Times New Roman" w:cs="Times New Roman"/>
          <w:sz w:val="28"/>
          <w:szCs w:val="28"/>
        </w:rPr>
        <w:br/>
        <w:t xml:space="preserve">и типов специальных контрольных точек </w:t>
      </w:r>
    </w:p>
    <w:p w:rsidR="001F69A3" w:rsidRDefault="001F69A3">
      <w:pPr>
        <w:pStyle w:val="ConsPlusNormal"/>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969"/>
        <w:gridCol w:w="4535"/>
      </w:tblGrid>
      <w:tr w:rsidR="001F69A3">
        <w:tc>
          <w:tcPr>
            <w:tcW w:w="547" w:type="dxa"/>
            <w:tcBorders>
              <w:top w:val="single" w:sz="4" w:space="0" w:color="auto"/>
              <w:left w:val="nil"/>
              <w:bottom w:val="single" w:sz="4" w:space="0" w:color="auto"/>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 п/п</w:t>
            </w:r>
          </w:p>
        </w:tc>
        <w:tc>
          <w:tcPr>
            <w:tcW w:w="3969" w:type="dxa"/>
            <w:tcBorders>
              <w:top w:val="single" w:sz="4" w:space="0" w:color="auto"/>
              <w:bottom w:val="single" w:sz="4" w:space="0" w:color="auto"/>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типа результата, типа специальной </w:t>
            </w:r>
            <w:r>
              <w:rPr>
                <w:rFonts w:ascii="Times New Roman" w:hAnsi="Times New Roman" w:cs="Times New Roman"/>
                <w:sz w:val="28"/>
                <w:szCs w:val="28"/>
              </w:rPr>
              <w:br/>
              <w:t xml:space="preserve">и  рекомендованной дополнительной </w:t>
            </w:r>
            <w:r>
              <w:rPr>
                <w:rFonts w:ascii="Times New Roman" w:hAnsi="Times New Roman" w:cs="Times New Roman"/>
                <w:sz w:val="28"/>
                <w:szCs w:val="28"/>
              </w:rPr>
              <w:br/>
              <w:t>контрольной точки</w:t>
            </w:r>
          </w:p>
        </w:tc>
        <w:tc>
          <w:tcPr>
            <w:tcW w:w="4535" w:type="dxa"/>
            <w:tcBorders>
              <w:top w:val="single" w:sz="4" w:space="0" w:color="auto"/>
              <w:bottom w:val="single" w:sz="4" w:space="0" w:color="auto"/>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1F69A3">
        <w:tblPrEx>
          <w:tblBorders>
            <w:insideH w:val="none" w:sz="0" w:space="0" w:color="auto"/>
            <w:insideV w:val="none" w:sz="0" w:space="0" w:color="auto"/>
          </w:tblBorders>
        </w:tblPrEx>
        <w:tc>
          <w:tcPr>
            <w:tcW w:w="9051" w:type="dxa"/>
            <w:gridSpan w:val="3"/>
            <w:tcBorders>
              <w:top w:val="single" w:sz="4" w:space="0" w:color="auto"/>
              <w:left w:val="nil"/>
              <w:bottom w:val="nil"/>
              <w:right w:val="nil"/>
            </w:tcBorders>
          </w:tcPr>
          <w:p w:rsidR="001F69A3" w:rsidRDefault="001F69A3">
            <w:pPr>
              <w:pStyle w:val="ConsPlusNormal"/>
              <w:jc w:val="center"/>
              <w:outlineLvl w:val="2"/>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 Строительство (реконструкция, техническое перевооружение, приобретение) объекта недвижимого имущества</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Земельный участок предоставлен заказчику</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только для вида работ "строительство"</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Получены положительные заключения по результатам государственных/ негосударственных экспертиз</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только для видов работ "строительство", "реконструкция"; выделяется экспертиза проектной документации, историко-культурная экспертиза, экологическая экспертиза, экспертиза достоверности сметной стоимости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Получено разрешение на строительство (реконструкцию)</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только для видов работ "строительство", "реконструкция"</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Строительно-монтажные работы завершены</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только для видов работ "строительство", "реконструкция"</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Оборудование приобретено</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не применяется для вида работ "приобретение"</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Оборудование установлено</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не применяется для вида работ "приобретение"</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Оборудование введено в эксплуатацию</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не применяется для вида работ "приобретение"</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Техническая готовность объекта, %</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не применяется для вида работ "приобретение", "техническое перевооружение"</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Заключение органа государственного строительного надзора получено</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не применяется для вида работ "приобретение", "техническое перевооружение"</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Объект введен в эксплуатацию</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Государственная регистрация права на объект недвижимого имущества произведена</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только для вида работ "строительство"</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Рекомендуемые типы дополнительных контрольных точек </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Определен вид объекта строительства и связанных с ним условий выбора территориальной зоны размещения земельного участка под строительство</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Земельный участок поставлен на кадастровый учет</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Оформлена градостроительная документация</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Изменена категория земельного участка</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Проведена оценка земельного участка</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Заключен контракт на проведение инженерных изысканий</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3969" w:type="dxa"/>
            <w:tcBorders>
              <w:top w:val="nil"/>
              <w:left w:val="nil"/>
              <w:bottom w:val="nil"/>
              <w:right w:val="nil"/>
            </w:tcBorders>
          </w:tcPr>
          <w:p w:rsidR="001F69A3" w:rsidRDefault="00463449">
            <w:pPr>
              <w:pStyle w:val="ConsPlusNormal"/>
              <w:tabs>
                <w:tab w:val="left" w:pos="1245"/>
              </w:tabs>
              <w:rPr>
                <w:rFonts w:ascii="Times New Roman" w:hAnsi="Times New Roman" w:cs="Times New Roman"/>
                <w:sz w:val="28"/>
                <w:szCs w:val="28"/>
              </w:rPr>
            </w:pPr>
            <w:r>
              <w:rPr>
                <w:rFonts w:ascii="Times New Roman" w:hAnsi="Times New Roman" w:cs="Times New Roman"/>
                <w:sz w:val="28"/>
                <w:szCs w:val="28"/>
              </w:rPr>
              <w:t>Заключен контракт на строительство</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19.</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Проведены инженерные изыскания для разработки </w:t>
            </w:r>
            <w:r>
              <w:rPr>
                <w:rFonts w:ascii="Times New Roman" w:hAnsi="Times New Roman" w:cs="Times New Roman"/>
                <w:sz w:val="28"/>
                <w:szCs w:val="28"/>
              </w:rPr>
              <w:lastRenderedPageBreak/>
              <w:t>проектной документации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20.</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Заключен контракт на разработку проектной документации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Разработана проектная документация </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Строительно-монтажные работы начаты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К объекту подведены  сети инженерно-технического обеспечения (теплоснабжение, водоснабжение и канализация, электроснабжение и пр.)</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Возведены несущие и ограждающие конструкции здания, перекрытия и кровля</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Произведены отделочные и иные внутренние работы, в том числе разводки сетей (включая трубы, вентиляция, электропроводка) </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26.</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Объект подключен к сетям инженерно-технического обеспечения (теплоснабжение, водоснабжение и канализация, электроснабжение и пр.)</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27.</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highlight w:val="yellow"/>
              </w:rPr>
            </w:pPr>
            <w:r>
              <w:rPr>
                <w:rFonts w:ascii="Times New Roman" w:hAnsi="Times New Roman" w:cs="Times New Roman"/>
                <w:sz w:val="28"/>
                <w:szCs w:val="28"/>
              </w:rPr>
              <w:t>Объект введен во временную эксплуатацию</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28.</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Осуществлены пуско-наладочные работы </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29.</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Подписан акт приемки выполненных работ </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highlight w:val="yellow"/>
              </w:rPr>
            </w:pPr>
            <w:r>
              <w:rPr>
                <w:rFonts w:ascii="Times New Roman" w:hAnsi="Times New Roman" w:cs="Times New Roman"/>
                <w:sz w:val="28"/>
                <w:szCs w:val="28"/>
              </w:rPr>
              <w:t>30.</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highlight w:val="yellow"/>
              </w:rPr>
            </w:pPr>
            <w:r>
              <w:rPr>
                <w:rFonts w:ascii="Times New Roman" w:hAnsi="Times New Roman" w:cs="Times New Roman"/>
                <w:sz w:val="28"/>
                <w:szCs w:val="28"/>
              </w:rPr>
              <w:t>Объект передан заказчику</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1F69A3">
            <w:pPr>
              <w:pStyle w:val="ConsPlusNormal"/>
              <w:jc w:val="center"/>
              <w:outlineLvl w:val="2"/>
              <w:rPr>
                <w:rFonts w:ascii="Times New Roman" w:hAnsi="Times New Roman" w:cs="Times New Roman"/>
                <w:sz w:val="28"/>
                <w:szCs w:val="28"/>
              </w:rPr>
            </w:pPr>
          </w:p>
          <w:p w:rsidR="001F69A3" w:rsidRDefault="001F69A3">
            <w:pPr>
              <w:pStyle w:val="ConsPlusNormal"/>
              <w:jc w:val="center"/>
              <w:outlineLvl w:val="2"/>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 Оказание услуг (выполнение работ)</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Утверждены (одобрены, сформированы) документы, необходимые для оказания услуги (выполнения работы)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Для оказания услуги (выполнения работы) подготовлено материально-техническое (кадровое) обеспечение</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Услуга оказана (работы выполнены)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1F69A3">
            <w:pPr>
              <w:pStyle w:val="ConsPlusNormal"/>
              <w:jc w:val="center"/>
              <w:outlineLvl w:val="2"/>
              <w:rPr>
                <w:rFonts w:ascii="Times New Roman" w:hAnsi="Times New Roman" w:cs="Times New Roman"/>
                <w:sz w:val="28"/>
                <w:szCs w:val="28"/>
              </w:rPr>
            </w:pPr>
          </w:p>
          <w:p w:rsidR="001F69A3" w:rsidRDefault="001F69A3">
            <w:pPr>
              <w:pStyle w:val="ConsPlusNormal"/>
              <w:jc w:val="center"/>
              <w:outlineLvl w:val="2"/>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3. Создание (реорганизация) организации (структурного подразделения)</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Принято решение о создании (реорганизации) организации (структурного подразделения)</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Осуществлена государственная регистрация организации</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только при создании (реорганизации) организации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Обеспечена организация деятельности организации (структурного подразделения) (структура управления и кадры)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Обеспечена организация деятельности организации (структурного подразделения) (имущество, финансы)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Получены лицензии, соответствующие видам деятельности организации (структурного подразделения)</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в случае выполнения организацией лицензируемых видов деятельности</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Утверждена концепция </w:t>
            </w:r>
            <w:r>
              <w:rPr>
                <w:rFonts w:ascii="Times New Roman" w:hAnsi="Times New Roman" w:cs="Times New Roman"/>
                <w:sz w:val="28"/>
                <w:szCs w:val="28"/>
              </w:rPr>
              <w:lastRenderedPageBreak/>
              <w:t>создания организации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1F69A3">
            <w:pPr>
              <w:pStyle w:val="ConsPlusNormal"/>
              <w:jc w:val="center"/>
              <w:outlineLvl w:val="2"/>
              <w:rPr>
                <w:rFonts w:ascii="Times New Roman" w:hAnsi="Times New Roman" w:cs="Times New Roman"/>
                <w:sz w:val="28"/>
                <w:szCs w:val="28"/>
              </w:rPr>
            </w:pPr>
          </w:p>
          <w:p w:rsidR="001F69A3" w:rsidRDefault="001F69A3">
            <w:pPr>
              <w:pStyle w:val="ConsPlusNormal"/>
              <w:jc w:val="center"/>
              <w:outlineLvl w:val="2"/>
              <w:rPr>
                <w:rFonts w:ascii="Times New Roman" w:hAnsi="Times New Roman" w:cs="Times New Roman"/>
                <w:sz w:val="28"/>
                <w:szCs w:val="28"/>
              </w:rPr>
            </w:pPr>
          </w:p>
          <w:p w:rsidR="001F69A3" w:rsidRDefault="001F69A3">
            <w:pPr>
              <w:pStyle w:val="ConsPlusNormal"/>
              <w:jc w:val="center"/>
              <w:outlineLvl w:val="2"/>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 Проведение образовательных мероприятий</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Включает специальные контрольные точки для типа результата</w:t>
            </w:r>
          </w:p>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1F69A3">
            <w:pPr>
              <w:pStyle w:val="ConsPlusNormal"/>
              <w:jc w:val="center"/>
              <w:rPr>
                <w:rFonts w:ascii="Times New Roman" w:hAnsi="Times New Roman" w:cs="Times New Roman"/>
                <w:sz w:val="28"/>
                <w:szCs w:val="28"/>
              </w:rPr>
            </w:pPr>
          </w:p>
        </w:tc>
        <w:tc>
          <w:tcPr>
            <w:tcW w:w="8504" w:type="dxa"/>
            <w:gridSpan w:val="2"/>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c>
          <w:tcPr>
            <w:tcW w:w="547" w:type="dxa"/>
            <w:tcBorders>
              <w:top w:val="nil"/>
              <w:left w:val="nil"/>
              <w:bottom w:val="nil"/>
              <w:right w:val="nil"/>
            </w:tcBorders>
            <w:shd w:val="clear" w:color="auto" w:fill="auto"/>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shd w:val="clear" w:color="auto" w:fill="auto"/>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Разработаны и утверждены программы образовательных мероприятий (выбраны образовательные программы)</w:t>
            </w:r>
          </w:p>
        </w:tc>
        <w:tc>
          <w:tcPr>
            <w:tcW w:w="4535" w:type="dxa"/>
            <w:tcBorders>
              <w:top w:val="nil"/>
              <w:left w:val="nil"/>
              <w:bottom w:val="nil"/>
              <w:right w:val="nil"/>
            </w:tcBorders>
            <w:shd w:val="clear" w:color="auto" w:fill="auto"/>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highlight w:val="yellow"/>
              </w:rPr>
            </w:pPr>
            <w:r>
              <w:rPr>
                <w:rFonts w:ascii="Times New Roman" w:hAnsi="Times New Roman" w:cs="Times New Roman"/>
                <w:sz w:val="28"/>
                <w:szCs w:val="28"/>
              </w:rPr>
              <w:t>Начато оказание образовательных мероприятий</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highlight w:val="yellow"/>
              </w:rPr>
            </w:pPr>
            <w:r>
              <w:rPr>
                <w:rFonts w:ascii="Times New Roman" w:hAnsi="Times New Roman" w:cs="Times New Roman"/>
                <w:sz w:val="28"/>
                <w:szCs w:val="28"/>
              </w:rPr>
              <w:t>Образовательные мероприятия завершены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1F69A3">
            <w:pPr>
              <w:pStyle w:val="ConsPlusNormal"/>
              <w:jc w:val="center"/>
              <w:outlineLvl w:val="2"/>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 Принятие нормативного правового (правового) акта</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разработан</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согласован с заинтересованными органами и организациями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прошел независимую антикоррупционную экспертизу</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не применяется для следующих видов актов: правовой акт органа исполнительной власти, распоряжение Правительства Российской Федерации (высшего исполнительного органа государственной власти субъекта Российской Федерации), распоряжение Президента Российской Федерации, решение Евразийской экономической комиссии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На акт получены требуемые </w:t>
            </w:r>
            <w:r>
              <w:rPr>
                <w:rFonts w:ascii="Times New Roman" w:hAnsi="Times New Roman" w:cs="Times New Roman"/>
                <w:sz w:val="28"/>
                <w:szCs w:val="28"/>
              </w:rPr>
              <w:lastRenderedPageBreak/>
              <w:t>заключения органов власти</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не применяется для следующих </w:t>
            </w:r>
            <w:r>
              <w:rPr>
                <w:rFonts w:ascii="Times New Roman" w:hAnsi="Times New Roman" w:cs="Times New Roman"/>
                <w:sz w:val="28"/>
                <w:szCs w:val="28"/>
              </w:rPr>
              <w:lastRenderedPageBreak/>
              <w:t>видов актов: правовой акт органа исполнительной власти, решение Евразийской экономической комиссии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внесен в высший исполнительный орган государственной власти</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для следующих видов актов: распоряжение Правительства Российской Федерации (высшего исполнительного органа государственной власти субъекта Российской Федерации), постановление Правительства Российской Федерации (высшего исполнительного органа государственной власти субъекта Российской Федерации), распоряжение Президента Российской Федерации, указ Президента Российской Федерации, закон</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рассмотрен и одобрен высшим исполнительным органом государственной власти</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для следующих видов актов: распоряжение Президента Российской Федерации, указ Президента Российской Федерации, закон</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принят Государственной Думой Федерального Собрания Российской Федерации</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для закона</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одобрен Советом Федерации Федерального Собрания Российской Федерации</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для закона</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утвержден (подписан)</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прошел государственную регистрацию</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для вида акта "нормативный правовой акт органа исполнительной власти"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w:t>
            </w:r>
            <w:proofErr w:type="gramStart"/>
            <w:r>
              <w:rPr>
                <w:rFonts w:ascii="Times New Roman" w:hAnsi="Times New Roman" w:cs="Times New Roman"/>
                <w:sz w:val="28"/>
                <w:szCs w:val="28"/>
              </w:rPr>
              <w:t>кт вст</w:t>
            </w:r>
            <w:proofErr w:type="gramEnd"/>
            <w:r>
              <w:rPr>
                <w:rFonts w:ascii="Times New Roman" w:hAnsi="Times New Roman" w:cs="Times New Roman"/>
                <w:sz w:val="28"/>
                <w:szCs w:val="28"/>
              </w:rPr>
              <w:t>упил в силу</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1F69A3">
            <w:pPr>
              <w:pStyle w:val="ConsPlusNormal"/>
              <w:jc w:val="center"/>
              <w:rPr>
                <w:rFonts w:ascii="Times New Roman" w:hAnsi="Times New Roman" w:cs="Times New Roman"/>
                <w:sz w:val="28"/>
                <w:szCs w:val="28"/>
              </w:rPr>
            </w:pPr>
          </w:p>
        </w:tc>
        <w:tc>
          <w:tcPr>
            <w:tcW w:w="8504" w:type="dxa"/>
            <w:gridSpan w:val="2"/>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Проведено исследование по </w:t>
            </w:r>
            <w:r>
              <w:rPr>
                <w:rFonts w:ascii="Times New Roman" w:hAnsi="Times New Roman" w:cs="Times New Roman"/>
                <w:sz w:val="28"/>
                <w:szCs w:val="28"/>
              </w:rPr>
              <w:lastRenderedPageBreak/>
              <w:t>вопросу формирования и (или) тематике акта</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выделяются следующие виды актов: </w:t>
            </w:r>
            <w:r>
              <w:rPr>
                <w:rFonts w:ascii="Times New Roman" w:hAnsi="Times New Roman" w:cs="Times New Roman"/>
                <w:sz w:val="28"/>
                <w:szCs w:val="28"/>
              </w:rPr>
              <w:lastRenderedPageBreak/>
              <w:t>правовой акт органа исполнительной власти, нормативный правовой акт органа исполнительной власти, распоряжение Правительства Российской Федерации (высшего исполнительного органа государственной власти субъекта Российской Федерации), постановление Правительства Российской Федерации (высшего исполнительного органа государственной власти субъекта Российской Федерации), указ Президента Российской Федерации, распоряжение Президента Российской Федерации, закон, решение Евразийской экономической комиссии</w:t>
            </w:r>
            <w:proofErr w:type="gramEnd"/>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На акт получено внутриведомственное согласование</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Акт одобрен на заседании Комиссии Правительства Российской Федерации по законопроектной деятельности</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применяется для закона</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1F69A3">
            <w:pPr>
              <w:pStyle w:val="ConsPlusNormal"/>
              <w:jc w:val="center"/>
              <w:outlineLvl w:val="2"/>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 Утверждение документа</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1F69A3">
            <w:pPr>
              <w:pStyle w:val="ConsPlusNormal"/>
              <w:jc w:val="center"/>
              <w:rPr>
                <w:rFonts w:ascii="Times New Roman" w:hAnsi="Times New Roman" w:cs="Times New Roman"/>
                <w:sz w:val="28"/>
                <w:szCs w:val="28"/>
              </w:rPr>
            </w:pPr>
          </w:p>
        </w:tc>
        <w:tc>
          <w:tcPr>
            <w:tcW w:w="3969"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Документ разработан</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Документ согласован с заинтересованными органами и организациями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Документ утвержден (подписан)</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Документ опубликован</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highlight w:val="yellow"/>
              </w:rPr>
            </w:pPr>
            <w:r>
              <w:rPr>
                <w:rFonts w:ascii="Times New Roman" w:hAnsi="Times New Roman" w:cs="Times New Roman"/>
                <w:sz w:val="28"/>
                <w:szCs w:val="28"/>
              </w:rPr>
              <w:lastRenderedPageBreak/>
              <w:t xml:space="preserve">Рекомендуемые типы дополнительных контрольных точек  </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Borders>
              <w:top w:val="nil"/>
              <w:left w:val="nil"/>
              <w:bottom w:val="nil"/>
              <w:right w:val="nil"/>
            </w:tcBorders>
          </w:tcPr>
          <w:p w:rsidR="001F69A3" w:rsidRDefault="00463449">
            <w:pPr>
              <w:pStyle w:val="ConsPlusNormal"/>
              <w:outlineLvl w:val="2"/>
              <w:rPr>
                <w:rFonts w:ascii="Times New Roman" w:hAnsi="Times New Roman" w:cs="Times New Roman"/>
                <w:sz w:val="28"/>
                <w:szCs w:val="28"/>
              </w:rPr>
            </w:pPr>
            <w:r>
              <w:rPr>
                <w:rFonts w:ascii="Times New Roman" w:hAnsi="Times New Roman" w:cs="Times New Roman"/>
                <w:sz w:val="28"/>
                <w:szCs w:val="28"/>
              </w:rPr>
              <w:t>Проведено исследование по вопросу формирования и (или) тематике документа</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3969" w:type="dxa"/>
            <w:tcBorders>
              <w:top w:val="nil"/>
              <w:left w:val="nil"/>
              <w:bottom w:val="nil"/>
              <w:right w:val="nil"/>
            </w:tcBorders>
          </w:tcPr>
          <w:p w:rsidR="001F69A3" w:rsidRDefault="00463449">
            <w:pPr>
              <w:pStyle w:val="ConsPlusNormal"/>
              <w:outlineLvl w:val="2"/>
              <w:rPr>
                <w:rFonts w:ascii="Times New Roman" w:hAnsi="Times New Roman" w:cs="Times New Roman"/>
                <w:sz w:val="28"/>
                <w:szCs w:val="28"/>
              </w:rPr>
            </w:pPr>
            <w:r>
              <w:rPr>
                <w:rFonts w:ascii="Times New Roman" w:hAnsi="Times New Roman" w:cs="Times New Roman"/>
                <w:sz w:val="28"/>
                <w:szCs w:val="28"/>
              </w:rPr>
              <w:t xml:space="preserve">На документ получено внутриведомственное согласование </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7. Проведение массовых мероприятий</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Включает специальные контрольные точки для типа результата</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Утверждена концепция мероприятия/ положение о мероприятии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Сформирован организационный комитет (организационный штаб) мероприятия</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Утвержден план подготовки мероприятия (дорожная карта)</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Получены и учтены требования правоохранительных органов к условиям и месту проведения мероприятия</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 Создание (развитие) информационно-телекоммуникационного сервиса (информационной системы)</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Сформированы (утверждены) технические документы для создания (развития) информационно-телекоммуникационного сервиса (информационной системы)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Создан (завершено развитие) </w:t>
            </w:r>
            <w:r>
              <w:rPr>
                <w:rFonts w:ascii="Times New Roman" w:hAnsi="Times New Roman" w:cs="Times New Roman"/>
                <w:sz w:val="28"/>
                <w:szCs w:val="28"/>
              </w:rPr>
              <w:lastRenderedPageBreak/>
              <w:t>информационно-телекоммуникационного серви</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а) (информационной системы)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Информационно-телекоммуникационный сервис (информационная система) аттестова</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и сертифицирован(а) по требованиям безопасности информации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Информационно-телекоммуникационный сервис (информационная система) введе</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 в промышленную эксплуатацию</w:t>
            </w:r>
          </w:p>
          <w:p w:rsidR="001F69A3" w:rsidRDefault="001F69A3">
            <w:pPr>
              <w:pStyle w:val="ConsPlusNormal"/>
              <w:rPr>
                <w:rFonts w:ascii="Times New Roman" w:hAnsi="Times New Roman" w:cs="Times New Roman"/>
                <w:sz w:val="28"/>
                <w:szCs w:val="28"/>
              </w:rPr>
            </w:pP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Разработан прототип программного обеспечения</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Информационно-телекоммуникационный сервис (информационная система) введен (а) в опытную эксплуатацию</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К информационно-телекоммуникационному сервису (информационная система) подключены пользователи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Заключен договор на оказание технической поддержки функционирования информационно-телекоммуникационного сервиса (информационной системы)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9. Благоустройство территории, ремонт объектов недвижимого имущества</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lastRenderedPageBreak/>
              <w:t>Включает специальные контрольные точки для типа результата</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p w:rsidR="001F69A3" w:rsidRDefault="001F69A3">
            <w:pPr>
              <w:pStyle w:val="ConsPlusNormal"/>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Утвержден дизайн-проект</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Проведен конкурс по выбору исполнителя проектной документации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Подготовлена конкурсная документация на выполнение работ</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Проведен конкурс по выбору исполнителя работ</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10. Проведение информационно-коммуникационной кампании</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Включает специальные контрольные точки для типа результата</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"Оказание услуг (выполнение работ)"</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Подготовлен и согласован план мероприятий по информационному сопровождению</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Выполнены запланированные мероприятия по информационному сопровождению</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1F69A3">
            <w:pPr>
              <w:pStyle w:val="ConsPlusNormal"/>
              <w:outlineLvl w:val="2"/>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11. Обеспечение реализации федерального, ведомственного проекта (результата федерального, ведомственного проекта)</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Обеспечена подготовка паспорта соответствующего проекта для его утверждения (запроса на изменение паспорта соответствующего проекта) (в части результата соответствующего проекта)</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Обеспечено заключение соглашений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(в части результата федерального проекта)</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Применяется для федеральных проектов, отдельные </w:t>
            </w:r>
            <w:proofErr w:type="gramStart"/>
            <w:r>
              <w:rPr>
                <w:rFonts w:ascii="Times New Roman" w:hAnsi="Times New Roman" w:cs="Times New Roman"/>
                <w:sz w:val="28"/>
                <w:szCs w:val="28"/>
              </w:rPr>
              <w:t>результаты</w:t>
            </w:r>
            <w:proofErr w:type="gramEnd"/>
            <w:r>
              <w:rPr>
                <w:rFonts w:ascii="Times New Roman" w:hAnsi="Times New Roman" w:cs="Times New Roman"/>
                <w:sz w:val="28"/>
                <w:szCs w:val="28"/>
              </w:rPr>
              <w:t xml:space="preserve"> реализации которых относятся к полномочиям субъектов Российской Федерации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Обеспечен мониторинг исполнения соглашений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обработка и формирование заключений на отчеты, представляемые участниками соответствующего проекта в рамках мониторинга реализации соответствующего проекта (результата соответствующего проекта)</w:t>
            </w:r>
          </w:p>
        </w:tc>
        <w:tc>
          <w:tcPr>
            <w:tcW w:w="4535"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Применяется для федеральных проектов,  отдельные </w:t>
            </w:r>
            <w:proofErr w:type="gramStart"/>
            <w:r>
              <w:rPr>
                <w:rFonts w:ascii="Times New Roman" w:hAnsi="Times New Roman" w:cs="Times New Roman"/>
                <w:sz w:val="28"/>
                <w:szCs w:val="28"/>
              </w:rPr>
              <w:t>результаты</w:t>
            </w:r>
            <w:proofErr w:type="gramEnd"/>
            <w:r>
              <w:rPr>
                <w:rFonts w:ascii="Times New Roman" w:hAnsi="Times New Roman" w:cs="Times New Roman"/>
                <w:sz w:val="28"/>
                <w:szCs w:val="28"/>
              </w:rPr>
              <w:t xml:space="preserve"> реализации которых относятся к полномочиям субъектов Российской Федерации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Обеспечен мониторинг реализации  соответствующего проекта (в части результата соответствующего проекта)</w:t>
            </w:r>
          </w:p>
          <w:p w:rsidR="001F69A3" w:rsidRDefault="001F69A3">
            <w:pPr>
              <w:pStyle w:val="ConsPlusNormal"/>
              <w:rPr>
                <w:rFonts w:ascii="Times New Roman" w:hAnsi="Times New Roman" w:cs="Times New Roman"/>
                <w:sz w:val="28"/>
                <w:szCs w:val="28"/>
              </w:rPr>
            </w:pP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12. Проведение научно-исследовательских (опытно-конструкторских) работ и реализация проекта внедрения новой технологии (в том числе информационной)</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Зарегистрировано проведение научно-исследовательских (опытно-конструкторских) </w:t>
            </w:r>
            <w:r>
              <w:rPr>
                <w:rFonts w:ascii="Times New Roman" w:hAnsi="Times New Roman" w:cs="Times New Roman"/>
                <w:sz w:val="28"/>
                <w:szCs w:val="28"/>
              </w:rPr>
              <w:lastRenderedPageBreak/>
              <w:t>работ, реализация проекта внедрения новой технологии (в том числе информационной) зарегистрировано в органе научно-технической информации федерального органа исполнительной власти в сфере научной, научно-технической и инновационной деятельности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Научно-исследовательская (опытно-конструкторская) работа проведена </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Отчет по научно-исследовательской и опытно-конструкторской работе зарегистрирован в органе научно-технической информации федерального органа исполнительной власти в сфере научной, научно-технической и инновационной деятельности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Разработаны технические задания на выполнение научно-исследовательских (опытно-конструкторских) работ</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Проведены патентные исследования </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Этап научно-исследовательской (опытно-конструкторской) работы завершен</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Разработаны и реализованы требования по стандартизации и унификации создаваемых образцов продукции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 xml:space="preserve">Разработана техническая </w:t>
            </w:r>
            <w:r>
              <w:rPr>
                <w:rFonts w:ascii="Times New Roman" w:hAnsi="Times New Roman" w:cs="Times New Roman"/>
                <w:sz w:val="28"/>
                <w:szCs w:val="28"/>
              </w:rPr>
              <w:lastRenderedPageBreak/>
              <w:t>документация, изготовлены макеты по эскизным конструкторским документам</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1F69A3">
            <w:pPr>
              <w:pStyle w:val="ConsPlusNormal"/>
              <w:jc w:val="center"/>
              <w:outlineLvl w:val="2"/>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13. </w:t>
            </w:r>
            <w:r w:rsidR="007A7A95">
              <w:rPr>
                <w:rFonts w:ascii="Times New Roman" w:hAnsi="Times New Roman" w:cs="Times New Roman"/>
                <w:sz w:val="28"/>
                <w:szCs w:val="28"/>
              </w:rPr>
              <w:t>Организация м</w:t>
            </w:r>
            <w:r>
              <w:rPr>
                <w:rFonts w:ascii="Times New Roman" w:hAnsi="Times New Roman" w:cs="Times New Roman"/>
                <w:sz w:val="28"/>
                <w:szCs w:val="28"/>
              </w:rPr>
              <w:t>еждународно</w:t>
            </w:r>
            <w:r w:rsidR="007A7A95">
              <w:rPr>
                <w:rFonts w:ascii="Times New Roman" w:hAnsi="Times New Roman" w:cs="Times New Roman"/>
                <w:sz w:val="28"/>
                <w:szCs w:val="28"/>
              </w:rPr>
              <w:t>го</w:t>
            </w:r>
            <w:r>
              <w:rPr>
                <w:rFonts w:ascii="Times New Roman" w:hAnsi="Times New Roman" w:cs="Times New Roman"/>
                <w:sz w:val="28"/>
                <w:szCs w:val="28"/>
              </w:rPr>
              <w:t xml:space="preserve"> сотрудничеств</w:t>
            </w:r>
            <w:r w:rsidR="007A7A95">
              <w:rPr>
                <w:rFonts w:ascii="Times New Roman" w:hAnsi="Times New Roman" w:cs="Times New Roman"/>
                <w:sz w:val="28"/>
                <w:szCs w:val="28"/>
              </w:rPr>
              <w:t>а</w:t>
            </w:r>
            <w:r>
              <w:rPr>
                <w:rFonts w:ascii="Times New Roman" w:hAnsi="Times New Roman" w:cs="Times New Roman"/>
                <w:sz w:val="28"/>
                <w:szCs w:val="28"/>
              </w:rPr>
              <w:t xml:space="preserve"> </w:t>
            </w:r>
          </w:p>
          <w:p w:rsidR="007A7A95" w:rsidRDefault="007A7A95">
            <w:pPr>
              <w:pStyle w:val="ConsPlusNormal"/>
              <w:jc w:val="center"/>
              <w:rPr>
                <w:rFonts w:ascii="Times New Roman" w:hAnsi="Times New Roman" w:cs="Times New Roman"/>
                <w:sz w:val="28"/>
                <w:szCs w:val="28"/>
              </w:rPr>
            </w:pPr>
          </w:p>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bl>
            <w:tblPr>
              <w:tblW w:w="9051" w:type="dxa"/>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969"/>
              <w:gridCol w:w="4535"/>
            </w:tblGrid>
            <w:tr w:rsidR="001F69A3">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Соглашение об участии в деятельности международной организации (в международных мероприятиях) / рамочное соглашение подписано</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Соглашение об участии в деятельности международной</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организации (международных мероприятиях) ратифицировано</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Взнос в международную организацию / платежи в целях</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обеспечения реализации соглашений по обязательствам</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Российской Федерации перед иностранными государствами /</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безвозмездные перечисления субъектам международного права</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осуществлены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Мероприятия, предусмотренные соглашением, проведены</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c>
                <w:tcPr>
                  <w:tcW w:w="9051" w:type="dxa"/>
                  <w:gridSpan w:val="3"/>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Рекомендуемые типы дополнительных контрольных точек</w:t>
                  </w:r>
                </w:p>
              </w:tc>
            </w:tr>
            <w:tr w:rsidR="001F69A3">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Проект рамочного соглашения согласован с заинтересованными сторонами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bl>
          <w:p w:rsidR="001F69A3" w:rsidRDefault="001F69A3">
            <w:pPr>
              <w:pStyle w:val="ConsPlusNormal"/>
              <w:jc w:val="center"/>
              <w:outlineLvl w:val="2"/>
              <w:rPr>
                <w:rFonts w:ascii="Times New Roman" w:hAnsi="Times New Roman" w:cs="Times New Roman"/>
                <w:sz w:val="28"/>
                <w:szCs w:val="28"/>
              </w:rPr>
            </w:pPr>
          </w:p>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14. Приобретение товаров, работ, услуг</w:t>
            </w:r>
          </w:p>
          <w:p w:rsidR="001F69A3" w:rsidRDefault="001F69A3">
            <w:pPr>
              <w:pStyle w:val="ConsPlusNormal"/>
              <w:jc w:val="center"/>
              <w:outlineLvl w:val="2"/>
              <w:rPr>
                <w:rFonts w:ascii="Times New Roman" w:hAnsi="Times New Roman" w:cs="Times New Roman"/>
                <w:sz w:val="28"/>
                <w:szCs w:val="28"/>
              </w:rPr>
            </w:pPr>
          </w:p>
          <w:tbl>
            <w:tblPr>
              <w:tblW w:w="12473" w:type="dxa"/>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371"/>
              <w:gridCol w:w="1276"/>
              <w:gridCol w:w="3259"/>
            </w:tblGrid>
            <w:tr w:rsidR="001F69A3">
              <w:trPr>
                <w:gridAfter w:val="1"/>
                <w:wAfter w:w="3259" w:type="dxa"/>
              </w:trPr>
              <w:tc>
                <w:tcPr>
                  <w:tcW w:w="9214" w:type="dxa"/>
                  <w:gridSpan w:val="3"/>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Рекомендуемые дополнительные контрольные точки </w:t>
                  </w:r>
                </w:p>
              </w:tc>
            </w:tr>
            <w:tr w:rsidR="001F69A3">
              <w:tc>
                <w:tcPr>
                  <w:tcW w:w="567"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lastRenderedPageBreak/>
                    <w:t>1.</w:t>
                  </w:r>
                </w:p>
              </w:tc>
              <w:tc>
                <w:tcPr>
                  <w:tcW w:w="7371"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Сформирована и утверждена потребность (техническое задание, спецификация)</w:t>
                  </w:r>
                </w:p>
              </w:tc>
              <w:tc>
                <w:tcPr>
                  <w:tcW w:w="4535" w:type="dxa"/>
                  <w:gridSpan w:val="2"/>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c>
                <w:tcPr>
                  <w:tcW w:w="567"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7371"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Заключен договор на закупку товаров, работ, услуг</w:t>
                  </w:r>
                </w:p>
              </w:tc>
              <w:tc>
                <w:tcPr>
                  <w:tcW w:w="4535" w:type="dxa"/>
                  <w:gridSpan w:val="2"/>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c>
                <w:tcPr>
                  <w:tcW w:w="567"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7371"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Приобретенные товары поставлены на баланс</w:t>
                  </w:r>
                </w:p>
              </w:tc>
              <w:tc>
                <w:tcPr>
                  <w:tcW w:w="4535" w:type="dxa"/>
                  <w:gridSpan w:val="2"/>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bl>
          <w:p w:rsidR="001F69A3" w:rsidRDefault="001F69A3">
            <w:pPr>
              <w:pStyle w:val="ConsPlusNormal"/>
              <w:jc w:val="center"/>
              <w:outlineLvl w:val="2"/>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rsidP="007A7A9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15. Обеспечен</w:t>
            </w:r>
            <w:r w:rsidR="007A7A95">
              <w:rPr>
                <w:rFonts w:ascii="Times New Roman" w:hAnsi="Times New Roman" w:cs="Times New Roman"/>
                <w:sz w:val="28"/>
                <w:szCs w:val="28"/>
              </w:rPr>
              <w:t>ие</w:t>
            </w:r>
            <w:r>
              <w:rPr>
                <w:rFonts w:ascii="Times New Roman" w:hAnsi="Times New Roman" w:cs="Times New Roman"/>
                <w:sz w:val="28"/>
                <w:szCs w:val="28"/>
              </w:rPr>
              <w:t xml:space="preserve"> привлечени</w:t>
            </w:r>
            <w:r w:rsidR="007A7A95">
              <w:rPr>
                <w:rFonts w:ascii="Times New Roman" w:hAnsi="Times New Roman" w:cs="Times New Roman"/>
                <w:sz w:val="28"/>
                <w:szCs w:val="28"/>
              </w:rPr>
              <w:t>я</w:t>
            </w:r>
            <w:r>
              <w:rPr>
                <w:rFonts w:ascii="Times New Roman" w:hAnsi="Times New Roman" w:cs="Times New Roman"/>
                <w:sz w:val="28"/>
                <w:szCs w:val="28"/>
              </w:rPr>
              <w:t xml:space="preserve"> квалифицированных кадров</w:t>
            </w: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Определена потребность в работниках (персонале) различных категорий и квалификации</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Определены источники привлечения необходимой численности работников (персонала) (скорректированы контрольные цифры приема для специалистов с высшим образованием и объемов подготовки для специалистов со средним профессиональным образованием, переподготовки граждан по востребованным направлениям, задание на переподготовку граждан)</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Приняты меры по трудоустройству работников на вакантные рабочие места</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rPr>
          <w:trHeight w:val="1532"/>
        </w:trPr>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Созданы условия по закреплению привлеченных работников (персонала) на рабочих местах</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rPr>
          <w:trHeight w:val="649"/>
        </w:trPr>
        <w:tc>
          <w:tcPr>
            <w:tcW w:w="547" w:type="dxa"/>
            <w:tcBorders>
              <w:top w:val="nil"/>
              <w:left w:val="nil"/>
              <w:bottom w:val="nil"/>
              <w:right w:val="nil"/>
            </w:tcBorders>
          </w:tcPr>
          <w:p w:rsidR="001F69A3" w:rsidRDefault="001F69A3">
            <w:pPr>
              <w:pStyle w:val="ConsPlusNormal"/>
              <w:jc w:val="center"/>
              <w:rPr>
                <w:rFonts w:ascii="Times New Roman" w:hAnsi="Times New Roman" w:cs="Times New Roman"/>
                <w:sz w:val="28"/>
                <w:szCs w:val="28"/>
              </w:rPr>
            </w:pPr>
          </w:p>
        </w:tc>
        <w:tc>
          <w:tcPr>
            <w:tcW w:w="8504" w:type="dxa"/>
            <w:gridSpan w:val="2"/>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16. Производство (реализация) продукции.</w:t>
            </w:r>
          </w:p>
        </w:tc>
      </w:tr>
      <w:tr w:rsidR="001F69A3">
        <w:trPr>
          <w:trHeight w:val="2064"/>
        </w:trPr>
        <w:tc>
          <w:tcPr>
            <w:tcW w:w="547" w:type="dxa"/>
            <w:tcBorders>
              <w:top w:val="nil"/>
              <w:left w:val="nil"/>
              <w:bottom w:val="nil"/>
              <w:right w:val="nil"/>
            </w:tcBorders>
          </w:tcPr>
          <w:p w:rsidR="001F69A3" w:rsidRDefault="001F69A3">
            <w:pPr>
              <w:pStyle w:val="ConsPlusNormal"/>
              <w:jc w:val="center"/>
              <w:rPr>
                <w:rFonts w:ascii="Times New Roman" w:hAnsi="Times New Roman" w:cs="Times New Roman"/>
                <w:sz w:val="28"/>
                <w:szCs w:val="28"/>
              </w:rPr>
            </w:pPr>
          </w:p>
        </w:tc>
        <w:tc>
          <w:tcPr>
            <w:tcW w:w="8504" w:type="dxa"/>
            <w:gridSpan w:val="2"/>
            <w:tcBorders>
              <w:top w:val="nil"/>
              <w:left w:val="nil"/>
              <w:bottom w:val="nil"/>
              <w:right w:val="nil"/>
            </w:tcBorders>
          </w:tcPr>
          <w:p w:rsidR="001F69A3" w:rsidRDefault="00463449">
            <w:pPr>
              <w:pStyle w:val="ConsPlusNormal"/>
              <w:jc w:val="both"/>
              <w:rPr>
                <w:rFonts w:ascii="Times New Roman" w:hAnsi="Times New Roman" w:cs="Times New Roman"/>
                <w:sz w:val="28"/>
                <w:szCs w:val="28"/>
              </w:rPr>
            </w:pPr>
            <w:r>
              <w:rPr>
                <w:rFonts w:ascii="Times New Roman" w:hAnsi="Times New Roman" w:cs="Times New Roman"/>
                <w:sz w:val="28"/>
                <w:szCs w:val="28"/>
              </w:rPr>
              <w:t>Включает обеспечивающие контрольные точки, соответствующие предоставлению субсидий юридическим (физическим) лицам, за исключением субсидий на выполнение государственного (муниципального) задания на оказание государственных (муниципальных) услуг (выполнение работ).</w:t>
            </w:r>
          </w:p>
          <w:p w:rsidR="001F69A3" w:rsidRDefault="001F69A3">
            <w:pPr>
              <w:pStyle w:val="ConsPlusNormal"/>
              <w:jc w:val="both"/>
              <w:rPr>
                <w:rFonts w:ascii="Times New Roman" w:hAnsi="Times New Roman" w:cs="Times New Roman"/>
                <w:sz w:val="28"/>
                <w:szCs w:val="28"/>
              </w:rPr>
            </w:pPr>
            <w:bookmarkStart w:id="1" w:name="_GoBack"/>
            <w:bookmarkEnd w:id="1"/>
          </w:p>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rPr>
          <w:trHeight w:val="946"/>
        </w:trPr>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8504" w:type="dxa"/>
            <w:gridSpan w:val="2"/>
            <w:tcBorders>
              <w:top w:val="nil"/>
              <w:left w:val="nil"/>
              <w:bottom w:val="nil"/>
              <w:right w:val="nil"/>
            </w:tcBorders>
          </w:tcPr>
          <w:tbl>
            <w:tblPr>
              <w:tblStyle w:val="a5"/>
              <w:tblW w:w="8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4"/>
              <w:gridCol w:w="4395"/>
            </w:tblGrid>
            <w:tr w:rsidR="001F69A3">
              <w:tc>
                <w:tcPr>
                  <w:tcW w:w="3984" w:type="dxa"/>
                </w:tcPr>
                <w:p w:rsidR="001F69A3" w:rsidRDefault="00463449">
                  <w:pPr>
                    <w:pStyle w:val="ConsPlusNormal"/>
                    <w:jc w:val="both"/>
                    <w:rPr>
                      <w:rFonts w:ascii="Times New Roman" w:hAnsi="Times New Roman" w:cs="Times New Roman"/>
                      <w:sz w:val="28"/>
                      <w:szCs w:val="28"/>
                    </w:rPr>
                  </w:pPr>
                  <w:r>
                    <w:rPr>
                      <w:rFonts w:ascii="Times New Roman" w:hAnsi="Times New Roman" w:cs="Times New Roman"/>
                      <w:sz w:val="28"/>
                      <w:szCs w:val="28"/>
                    </w:rPr>
                    <w:t>Произведена (реализована) продукция</w:t>
                  </w:r>
                </w:p>
              </w:tc>
              <w:tc>
                <w:tcPr>
                  <w:tcW w:w="4395" w:type="dxa"/>
                </w:tcPr>
                <w:p w:rsidR="001F69A3" w:rsidRDefault="001F69A3">
                  <w:pPr>
                    <w:pStyle w:val="ConsPlusNormal"/>
                    <w:jc w:val="both"/>
                    <w:rPr>
                      <w:rFonts w:ascii="Times New Roman" w:hAnsi="Times New Roman" w:cs="Times New Roman"/>
                      <w:sz w:val="28"/>
                      <w:szCs w:val="28"/>
                    </w:rPr>
                  </w:pPr>
                </w:p>
              </w:tc>
            </w:tr>
          </w:tbl>
          <w:p w:rsidR="001F69A3" w:rsidRDefault="001F69A3">
            <w:pPr>
              <w:pStyle w:val="ConsPlusNormal"/>
              <w:jc w:val="both"/>
              <w:rPr>
                <w:rFonts w:ascii="Times New Roman" w:hAnsi="Times New Roman" w:cs="Times New Roman"/>
                <w:sz w:val="28"/>
                <w:szCs w:val="28"/>
              </w:rPr>
            </w:pPr>
          </w:p>
        </w:tc>
      </w:tr>
      <w:tr w:rsidR="001F69A3">
        <w:trPr>
          <w:trHeight w:val="1150"/>
        </w:trPr>
        <w:tc>
          <w:tcPr>
            <w:tcW w:w="547" w:type="dxa"/>
            <w:tcBorders>
              <w:top w:val="nil"/>
              <w:left w:val="nil"/>
              <w:bottom w:val="nil"/>
              <w:right w:val="nil"/>
            </w:tcBorders>
          </w:tcPr>
          <w:p w:rsidR="001F69A3" w:rsidRDefault="001F69A3">
            <w:pPr>
              <w:pStyle w:val="ConsPlusNormal"/>
              <w:jc w:val="center"/>
              <w:rPr>
                <w:rFonts w:ascii="Times New Roman" w:hAnsi="Times New Roman" w:cs="Times New Roman"/>
                <w:sz w:val="28"/>
                <w:szCs w:val="28"/>
              </w:rPr>
            </w:pPr>
          </w:p>
        </w:tc>
        <w:tc>
          <w:tcPr>
            <w:tcW w:w="8504" w:type="dxa"/>
            <w:gridSpan w:val="2"/>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17. Социальное обеспечение и иные выплаты населению</w:t>
            </w:r>
          </w:p>
          <w:p w:rsidR="001F69A3" w:rsidRDefault="001F69A3">
            <w:pPr>
              <w:pStyle w:val="ConsPlusNormal"/>
              <w:jc w:val="center"/>
              <w:rPr>
                <w:rFonts w:ascii="Times New Roman" w:hAnsi="Times New Roman" w:cs="Times New Roman"/>
                <w:sz w:val="28"/>
                <w:szCs w:val="28"/>
              </w:rPr>
            </w:pPr>
          </w:p>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Типы специальных контрольных точек</w:t>
            </w:r>
          </w:p>
        </w:tc>
      </w:tr>
      <w:tr w:rsidR="001F69A3">
        <w:trPr>
          <w:trHeight w:val="1086"/>
        </w:trPr>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proofErr w:type="gramStart"/>
            <w:r>
              <w:rPr>
                <w:rFonts w:ascii="Times New Roman" w:hAnsi="Times New Roman" w:cs="Times New Roman"/>
                <w:sz w:val="28"/>
                <w:szCs w:val="28"/>
              </w:rPr>
              <w:t>Утвержден</w:t>
            </w:r>
            <w:proofErr w:type="gramEnd"/>
            <w:r>
              <w:rPr>
                <w:rFonts w:ascii="Times New Roman" w:hAnsi="Times New Roman" w:cs="Times New Roman"/>
                <w:sz w:val="28"/>
                <w:szCs w:val="28"/>
              </w:rPr>
              <w:t xml:space="preserve"> /принят документ, устанавливающий условия осуществления выплат</w:t>
            </w:r>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rPr>
          <w:trHeight w:val="650"/>
        </w:trPr>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Принято обязательств</w:t>
            </w:r>
            <w:proofErr w:type="gramStart"/>
            <w:r>
              <w:rPr>
                <w:rFonts w:ascii="Times New Roman" w:hAnsi="Times New Roman" w:cs="Times New Roman"/>
                <w:sz w:val="28"/>
                <w:szCs w:val="28"/>
              </w:rPr>
              <w:t xml:space="preserve"> (%)</w:t>
            </w:r>
            <w:proofErr w:type="gramEnd"/>
          </w:p>
        </w:tc>
        <w:tc>
          <w:tcPr>
            <w:tcW w:w="4535" w:type="dxa"/>
            <w:tcBorders>
              <w:top w:val="nil"/>
              <w:left w:val="nil"/>
              <w:bottom w:val="nil"/>
              <w:right w:val="nil"/>
            </w:tcBorders>
          </w:tcPr>
          <w:p w:rsidR="001F69A3" w:rsidRDefault="001F69A3">
            <w:pPr>
              <w:pStyle w:val="ConsPlusNormal"/>
              <w:rPr>
                <w:rFonts w:ascii="Times New Roman" w:hAnsi="Times New Roman" w:cs="Times New Roman"/>
                <w:sz w:val="28"/>
                <w:szCs w:val="28"/>
              </w:rPr>
            </w:pPr>
          </w:p>
        </w:tc>
      </w:tr>
      <w:tr w:rsidR="001F69A3">
        <w:trPr>
          <w:trHeight w:val="635"/>
        </w:trPr>
        <w:tc>
          <w:tcPr>
            <w:tcW w:w="547" w:type="dxa"/>
            <w:tcBorders>
              <w:top w:val="nil"/>
              <w:left w:val="nil"/>
              <w:bottom w:val="single" w:sz="4" w:space="0" w:color="auto"/>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single" w:sz="4" w:space="0" w:color="auto"/>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Выплаты осуществлены</w:t>
            </w:r>
          </w:p>
        </w:tc>
        <w:tc>
          <w:tcPr>
            <w:tcW w:w="4535" w:type="dxa"/>
            <w:tcBorders>
              <w:top w:val="nil"/>
              <w:left w:val="nil"/>
              <w:bottom w:val="single" w:sz="4" w:space="0" w:color="auto"/>
              <w:right w:val="nil"/>
            </w:tcBorders>
          </w:tcPr>
          <w:p w:rsidR="001F69A3" w:rsidRDefault="001F69A3">
            <w:pPr>
              <w:pStyle w:val="ConsPlusNormal"/>
              <w:rPr>
                <w:rFonts w:ascii="Times New Roman" w:hAnsi="Times New Roman" w:cs="Times New Roman"/>
                <w:sz w:val="28"/>
                <w:szCs w:val="28"/>
              </w:rPr>
            </w:pPr>
          </w:p>
        </w:tc>
      </w:tr>
    </w:tbl>
    <w:p w:rsidR="001F69A3" w:rsidRDefault="001F69A3">
      <w:pPr>
        <w:pStyle w:val="ConsPlusNormal"/>
        <w:jc w:val="both"/>
        <w:rPr>
          <w:rFonts w:ascii="Times New Roman" w:hAnsi="Times New Roman" w:cs="Times New Roman"/>
          <w:sz w:val="28"/>
          <w:szCs w:val="28"/>
        </w:rPr>
      </w:pPr>
    </w:p>
    <w:p w:rsidR="001F69A3" w:rsidRDefault="00463449">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F69A3" w:rsidRDefault="00463449">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ПЕРЕЧЕНЬ</w:t>
      </w:r>
    </w:p>
    <w:p w:rsidR="001F69A3" w:rsidRDefault="00463449">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типов обеспечивающих контрольных точек </w:t>
      </w:r>
    </w:p>
    <w:p w:rsidR="001F69A3" w:rsidRDefault="001F69A3">
      <w:pPr>
        <w:pStyle w:val="ConsPlusNormal"/>
        <w:jc w:val="both"/>
        <w:rPr>
          <w:rFonts w:ascii="Times New Roman" w:hAnsi="Times New Roman" w:cs="Times New Roman"/>
          <w:sz w:val="28"/>
          <w:szCs w:val="28"/>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3969"/>
        <w:gridCol w:w="4535"/>
      </w:tblGrid>
      <w:tr w:rsidR="001F69A3">
        <w:tc>
          <w:tcPr>
            <w:tcW w:w="547" w:type="dxa"/>
            <w:tcBorders>
              <w:top w:val="single" w:sz="4" w:space="0" w:color="auto"/>
              <w:left w:val="nil"/>
              <w:bottom w:val="single" w:sz="4" w:space="0" w:color="auto"/>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N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969" w:type="dxa"/>
            <w:tcBorders>
              <w:top w:val="single" w:sz="4" w:space="0" w:color="auto"/>
              <w:bottom w:val="single" w:sz="4" w:space="0" w:color="auto"/>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типа обеспечивающей контрольной точки</w:t>
            </w:r>
          </w:p>
        </w:tc>
        <w:tc>
          <w:tcPr>
            <w:tcW w:w="4535" w:type="dxa"/>
            <w:tcBorders>
              <w:top w:val="single" w:sz="4" w:space="0" w:color="auto"/>
              <w:bottom w:val="single" w:sz="4" w:space="0" w:color="auto"/>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Примечание</w:t>
            </w:r>
          </w:p>
        </w:tc>
      </w:tr>
      <w:tr w:rsidR="001F69A3">
        <w:tblPrEx>
          <w:tblBorders>
            <w:insideH w:val="none" w:sz="0" w:space="0" w:color="auto"/>
            <w:insideV w:val="none" w:sz="0" w:space="0" w:color="auto"/>
          </w:tblBorders>
        </w:tblPrEx>
        <w:tc>
          <w:tcPr>
            <w:tcW w:w="9051" w:type="dxa"/>
            <w:gridSpan w:val="3"/>
            <w:tcBorders>
              <w:top w:val="single" w:sz="4" w:space="0" w:color="auto"/>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1. Закупка товаров, работ, услуг</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Закупка включена в план закупок</w:t>
            </w:r>
          </w:p>
        </w:tc>
        <w:tc>
          <w:tcPr>
            <w:tcW w:w="4535" w:type="dxa"/>
            <w:vMerge w:val="restart"/>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Используется в случае, если бюджетные ассигнования на финансовое обеспечение расходов предусмотрены по группе видов расходов 200 "Закупка товаров, работ и услуг для обеспечения государственных (муниципальных) нужд", и (или) виду расходов 323 "Приобретение товаров, работ, услуг в пользу граждан в целях их социального обеспечения", и (или)</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подгруппе видов расходов 410 "Бюджетные инвестиции" бюджетной классификации Российской Федерации, и (или) подгруппе 880 видов расходов "Специальные расходы"</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Сведения о государственном (муниципальном) контракте внесены в реестр контрактов, заключенных заказчиками по результатам закупок</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Принято обязательство</w:t>
            </w:r>
            <w:proofErr w:type="gramStart"/>
            <w:r>
              <w:rPr>
                <w:rFonts w:ascii="Times New Roman" w:hAnsi="Times New Roman" w:cs="Times New Roman"/>
                <w:sz w:val="28"/>
                <w:szCs w:val="28"/>
              </w:rPr>
              <w:t xml:space="preserve"> (%)</w:t>
            </w:r>
            <w:proofErr w:type="gramEnd"/>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Произведена приемка поставленных товаров, выполненных работ, оказанных услуг</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Произведена оплата поставленных товаров, выполненных работ, оказанных услуг по государственному (муниципальному) контракту</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 Предоставление субсидий, иных межбюджетных трансфертов, имеющих целевое назначение, бюджетам бюджетной системы Российской Федерации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Утверждены правила распределения и предоставления бюджетам субъектов Российской Федерации межбюджетных трансфертов</w:t>
            </w:r>
          </w:p>
        </w:tc>
        <w:tc>
          <w:tcPr>
            <w:tcW w:w="4535" w:type="dxa"/>
            <w:vMerge w:val="restart"/>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Используется в случае, если бюджетные ассигнования на финансовое обеспечение расходов предусмотрены по группе видов расходов 500 "Межбюджетные трансферты" бюджетной классификации Российской Федерации</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Утверждено распределение межбюджетных трансфертов по субъектам Российской Федерации (муниципальным образованиям)</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 субъектами Российской Федерации заключены соглашения о предоставлении бюджетам субъектов Российской Федерации межбюджетных трансфертов</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Предоставлен отчет об использовании межбюджетных трансфертов</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3. Предоставление субсидий на выполнение государственного задания бюджетным и автономным учреждениям</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4535" w:type="dxa"/>
            <w:vMerge w:val="restart"/>
            <w:tcBorders>
              <w:top w:val="nil"/>
              <w:left w:val="nil"/>
              <w:bottom w:val="nil"/>
              <w:right w:val="nil"/>
            </w:tcBorders>
          </w:tcPr>
          <w:p w:rsidR="001F69A3" w:rsidRDefault="00463449">
            <w:pPr>
              <w:pStyle w:val="ConsPlusNormal"/>
              <w:rPr>
                <w:rFonts w:ascii="Times New Roman" w:hAnsi="Times New Roman" w:cs="Times New Roman"/>
                <w:sz w:val="28"/>
                <w:szCs w:val="28"/>
              </w:rPr>
            </w:pPr>
            <w:proofErr w:type="gramStart"/>
            <w:r>
              <w:rPr>
                <w:rFonts w:ascii="Times New Roman" w:hAnsi="Times New Roman" w:cs="Times New Roman"/>
                <w:sz w:val="28"/>
                <w:szCs w:val="28"/>
              </w:rPr>
              <w:t>Используется в случае, если бюджетные ассигнования на финансовое обеспечение расходов предусмотрены по видам расходов 611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и (или) 621 "Субсидии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бюджетной классификации Российской Федерации</w:t>
            </w:r>
            <w:proofErr w:type="gramEnd"/>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9051" w:type="dxa"/>
            <w:gridSpan w:val="3"/>
            <w:tcBorders>
              <w:top w:val="nil"/>
              <w:left w:val="nil"/>
              <w:bottom w:val="nil"/>
              <w:right w:val="nil"/>
            </w:tcBorders>
          </w:tcPr>
          <w:p w:rsidR="001F69A3" w:rsidRDefault="00463449">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4. Предоставление субсидий юридическим (физическим) лицам, за исключением субсидий на выполнение государственного </w:t>
            </w:r>
            <w:r>
              <w:rPr>
                <w:rFonts w:ascii="Times New Roman" w:hAnsi="Times New Roman" w:cs="Times New Roman"/>
                <w:sz w:val="28"/>
                <w:szCs w:val="28"/>
              </w:rPr>
              <w:lastRenderedPageBreak/>
              <w:t>(муниципального) задания на оказание государственных (муниципальных) услуг (выполнение работ)</w:t>
            </w:r>
          </w:p>
        </w:tc>
      </w:tr>
      <w:tr w:rsidR="001F69A3">
        <w:tblPrEx>
          <w:tblBorders>
            <w:insideH w:val="none" w:sz="0" w:space="0" w:color="auto"/>
            <w:insideV w:val="none" w:sz="0" w:space="0" w:color="auto"/>
          </w:tblBorders>
        </w:tblPrEx>
        <w:tc>
          <w:tcPr>
            <w:tcW w:w="547" w:type="dxa"/>
            <w:tcBorders>
              <w:top w:val="nil"/>
              <w:left w:val="nil"/>
              <w:bottom w:val="nil"/>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3969" w:type="dxa"/>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4535" w:type="dxa"/>
            <w:vMerge w:val="restart"/>
            <w:tcBorders>
              <w:top w:val="nil"/>
              <w:left w:val="nil"/>
              <w:bottom w:val="nil"/>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Используется в случае, если бюджетные ассигнования на финансовое обеспечение расходов предусмотрены по группе видов расходов 600 (кроме 611, 621) "Субсидии бюджетным автономным учреждениям и иным некоммерческим организациям";</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Подгруппе видов расходов 450 "Бюджетные инвестиции иным юридическим лицам";</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подгруппе видов расходов 460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r>
      <w:tr w:rsidR="001F69A3">
        <w:tblPrEx>
          <w:tblBorders>
            <w:insideH w:val="none" w:sz="0" w:space="0" w:color="auto"/>
            <w:insideV w:val="none" w:sz="0" w:space="0" w:color="auto"/>
          </w:tblBorders>
        </w:tblPrEx>
        <w:trPr>
          <w:trHeight w:val="322"/>
        </w:trPr>
        <w:tc>
          <w:tcPr>
            <w:tcW w:w="547" w:type="dxa"/>
            <w:vMerge w:val="restart"/>
            <w:tcBorders>
              <w:top w:val="nil"/>
              <w:left w:val="nil"/>
              <w:bottom w:val="single" w:sz="4" w:space="0" w:color="auto"/>
              <w:right w:val="nil"/>
            </w:tcBorders>
          </w:tcPr>
          <w:p w:rsidR="001F69A3" w:rsidRDefault="00463449">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3969" w:type="dxa"/>
            <w:vMerge w:val="restart"/>
            <w:tcBorders>
              <w:top w:val="nil"/>
              <w:left w:val="nil"/>
              <w:bottom w:val="single" w:sz="4" w:space="0" w:color="auto"/>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Предоставлен отчет о выполнении соглашения о предоставлении субсидии юридическому (физическому) лицу</w:t>
            </w:r>
          </w:p>
        </w:tc>
        <w:tc>
          <w:tcPr>
            <w:tcW w:w="4535" w:type="dxa"/>
            <w:vMerge/>
            <w:tcBorders>
              <w:top w:val="nil"/>
              <w:left w:val="nil"/>
              <w:bottom w:val="nil"/>
              <w:right w:val="nil"/>
            </w:tcBorders>
          </w:tcPr>
          <w:p w:rsidR="001F69A3" w:rsidRDefault="001F69A3">
            <w:pPr>
              <w:rPr>
                <w:rFonts w:ascii="Times New Roman" w:hAnsi="Times New Roman" w:cs="Times New Roman"/>
                <w:sz w:val="28"/>
                <w:szCs w:val="28"/>
              </w:rPr>
            </w:pPr>
          </w:p>
        </w:tc>
      </w:tr>
      <w:tr w:rsidR="001F69A3">
        <w:tblPrEx>
          <w:tblBorders>
            <w:insideH w:val="none" w:sz="0" w:space="0" w:color="auto"/>
            <w:insideV w:val="none" w:sz="0" w:space="0" w:color="auto"/>
          </w:tblBorders>
        </w:tblPrEx>
        <w:tc>
          <w:tcPr>
            <w:tcW w:w="547" w:type="dxa"/>
            <w:vMerge/>
            <w:tcBorders>
              <w:top w:val="nil"/>
              <w:left w:val="nil"/>
              <w:bottom w:val="single" w:sz="4" w:space="0" w:color="auto"/>
              <w:right w:val="nil"/>
            </w:tcBorders>
          </w:tcPr>
          <w:p w:rsidR="001F69A3" w:rsidRDefault="001F69A3">
            <w:pPr>
              <w:rPr>
                <w:rFonts w:ascii="Times New Roman" w:hAnsi="Times New Roman" w:cs="Times New Roman"/>
                <w:sz w:val="28"/>
                <w:szCs w:val="28"/>
              </w:rPr>
            </w:pPr>
          </w:p>
        </w:tc>
        <w:tc>
          <w:tcPr>
            <w:tcW w:w="3969" w:type="dxa"/>
            <w:vMerge/>
            <w:tcBorders>
              <w:top w:val="nil"/>
              <w:left w:val="nil"/>
              <w:bottom w:val="single" w:sz="4" w:space="0" w:color="auto"/>
              <w:right w:val="nil"/>
            </w:tcBorders>
          </w:tcPr>
          <w:p w:rsidR="001F69A3" w:rsidRDefault="001F69A3">
            <w:pPr>
              <w:rPr>
                <w:rFonts w:ascii="Times New Roman" w:hAnsi="Times New Roman" w:cs="Times New Roman"/>
                <w:sz w:val="28"/>
                <w:szCs w:val="28"/>
              </w:rPr>
            </w:pPr>
          </w:p>
        </w:tc>
        <w:tc>
          <w:tcPr>
            <w:tcW w:w="4535" w:type="dxa"/>
            <w:tcBorders>
              <w:top w:val="nil"/>
              <w:left w:val="nil"/>
              <w:bottom w:val="single" w:sz="4" w:space="0" w:color="auto"/>
              <w:right w:val="nil"/>
            </w:tcBorders>
          </w:tcPr>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подгруппе видов расходов 810 "Субсидии юридическим лицам";</w:t>
            </w:r>
          </w:p>
          <w:p w:rsidR="001F69A3" w:rsidRDefault="00463449">
            <w:pPr>
              <w:pStyle w:val="ConsPlusNormal"/>
              <w:rPr>
                <w:rFonts w:ascii="Times New Roman" w:hAnsi="Times New Roman" w:cs="Times New Roman"/>
                <w:sz w:val="28"/>
                <w:szCs w:val="28"/>
              </w:rPr>
            </w:pPr>
            <w:r>
              <w:rPr>
                <w:rFonts w:ascii="Times New Roman" w:hAnsi="Times New Roman" w:cs="Times New Roman"/>
                <w:sz w:val="28"/>
                <w:szCs w:val="28"/>
              </w:rPr>
              <w:t>подгруппе видов расходов 820 "Субсидии государственным корпорациям (компаниям), публично-правовым компаниям"</w:t>
            </w:r>
          </w:p>
        </w:tc>
      </w:tr>
    </w:tbl>
    <w:p w:rsidR="001F69A3" w:rsidRDefault="001F69A3">
      <w:pPr>
        <w:pStyle w:val="ConsPlusNormal"/>
        <w:jc w:val="both"/>
        <w:rPr>
          <w:rFonts w:ascii="Times New Roman" w:hAnsi="Times New Roman" w:cs="Times New Roman"/>
          <w:sz w:val="28"/>
          <w:szCs w:val="28"/>
        </w:rPr>
      </w:pPr>
    </w:p>
    <w:sectPr w:rsidR="001F69A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49" w:rsidRDefault="00463449">
      <w:pPr>
        <w:spacing w:after="0" w:line="240" w:lineRule="auto"/>
      </w:pPr>
      <w:r>
        <w:separator/>
      </w:r>
    </w:p>
  </w:endnote>
  <w:endnote w:type="continuationSeparator" w:id="0">
    <w:p w:rsidR="00463449" w:rsidRDefault="0046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49" w:rsidRDefault="00463449">
      <w:pPr>
        <w:spacing w:after="0" w:line="240" w:lineRule="auto"/>
      </w:pPr>
      <w:r>
        <w:separator/>
      </w:r>
    </w:p>
  </w:footnote>
  <w:footnote w:type="continuationSeparator" w:id="0">
    <w:p w:rsidR="00463449" w:rsidRDefault="00463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013392"/>
      <w:docPartObj>
        <w:docPartGallery w:val="Page Numbers (Top of Page)"/>
        <w:docPartUnique/>
      </w:docPartObj>
    </w:sdtPr>
    <w:sdtEndPr>
      <w:rPr>
        <w:rFonts w:ascii="Times New Roman" w:hAnsi="Times New Roman" w:cs="Times New Roman"/>
        <w:sz w:val="28"/>
        <w:szCs w:val="28"/>
      </w:rPr>
    </w:sdtEndPr>
    <w:sdtContent>
      <w:p w:rsidR="00463449" w:rsidRDefault="00463449">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210E0D">
          <w:rPr>
            <w:rFonts w:ascii="Times New Roman" w:hAnsi="Times New Roman" w:cs="Times New Roman"/>
            <w:noProof/>
            <w:sz w:val="28"/>
            <w:szCs w:val="28"/>
          </w:rPr>
          <w:t>15</w:t>
        </w:r>
        <w:r>
          <w:rPr>
            <w:rFonts w:ascii="Times New Roman" w:hAnsi="Times New Roman" w:cs="Times New Roman"/>
            <w:sz w:val="28"/>
            <w:szCs w:val="28"/>
          </w:rPr>
          <w:fldChar w:fldCharType="end"/>
        </w:r>
      </w:p>
    </w:sdtContent>
  </w:sdt>
  <w:p w:rsidR="00463449" w:rsidRDefault="0046344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A3"/>
    <w:rsid w:val="00144F55"/>
    <w:rsid w:val="001F69A3"/>
    <w:rsid w:val="00210E0D"/>
    <w:rsid w:val="00463449"/>
    <w:rsid w:val="007A7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table" w:styleId="a5">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Pr>
      <w:sz w:val="16"/>
      <w:szCs w:val="16"/>
    </w:r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Текст примечания Знак"/>
    <w:basedOn w:val="a0"/>
    <w:link w:val="a7"/>
    <w:uiPriority w:val="99"/>
    <w:semiHidden/>
    <w:rPr>
      <w:sz w:val="20"/>
      <w:szCs w:val="20"/>
    </w:rPr>
  </w:style>
  <w:style w:type="paragraph" w:styleId="a9">
    <w:name w:val="annotation subject"/>
    <w:basedOn w:val="a7"/>
    <w:next w:val="a7"/>
    <w:link w:val="aa"/>
    <w:uiPriority w:val="99"/>
    <w:semiHidden/>
    <w:unhideWhenUsed/>
    <w:rPr>
      <w:b/>
      <w:bCs/>
    </w:rPr>
  </w:style>
  <w:style w:type="character" w:customStyle="1" w:styleId="aa">
    <w:name w:val="Тема примечания Знак"/>
    <w:basedOn w:val="a8"/>
    <w:link w:val="a9"/>
    <w:uiPriority w:val="99"/>
    <w:semiHidden/>
    <w:rPr>
      <w:b/>
      <w:bCs/>
      <w:sz w:val="20"/>
      <w:szCs w:val="20"/>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hAnsi="Tahoma" w:cs="Tahoma"/>
      <w:sz w:val="16"/>
      <w:szCs w:val="16"/>
    </w:rPr>
  </w:style>
  <w:style w:type="table" w:styleId="a5">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Pr>
      <w:sz w:val="16"/>
      <w:szCs w:val="16"/>
    </w:rPr>
  </w:style>
  <w:style w:type="paragraph" w:styleId="a7">
    <w:name w:val="annotation text"/>
    <w:basedOn w:val="a"/>
    <w:link w:val="a8"/>
    <w:uiPriority w:val="99"/>
    <w:semiHidden/>
    <w:unhideWhenUsed/>
    <w:pPr>
      <w:spacing w:line="240" w:lineRule="auto"/>
    </w:pPr>
    <w:rPr>
      <w:sz w:val="20"/>
      <w:szCs w:val="20"/>
    </w:rPr>
  </w:style>
  <w:style w:type="character" w:customStyle="1" w:styleId="a8">
    <w:name w:val="Текст примечания Знак"/>
    <w:basedOn w:val="a0"/>
    <w:link w:val="a7"/>
    <w:uiPriority w:val="99"/>
    <w:semiHidden/>
    <w:rPr>
      <w:sz w:val="20"/>
      <w:szCs w:val="20"/>
    </w:rPr>
  </w:style>
  <w:style w:type="paragraph" w:styleId="a9">
    <w:name w:val="annotation subject"/>
    <w:basedOn w:val="a7"/>
    <w:next w:val="a7"/>
    <w:link w:val="aa"/>
    <w:uiPriority w:val="99"/>
    <w:semiHidden/>
    <w:unhideWhenUsed/>
    <w:rPr>
      <w:b/>
      <w:bCs/>
    </w:rPr>
  </w:style>
  <w:style w:type="character" w:customStyle="1" w:styleId="aa">
    <w:name w:val="Тема примечания Знак"/>
    <w:basedOn w:val="a8"/>
    <w:link w:val="a9"/>
    <w:uiPriority w:val="99"/>
    <w:semiHidden/>
    <w:rPr>
      <w:b/>
      <w:bCs/>
      <w:sz w:val="20"/>
      <w:szCs w:val="20"/>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ae">
    <w:name w:val="Нижний колонтитул Знак"/>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BA8C4-BF6F-492A-9BB2-25E90C16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18</Pages>
  <Words>2906</Words>
  <Characters>16569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Н.А.</dc:creator>
  <cp:lastModifiedBy>Наталья Ильина</cp:lastModifiedBy>
  <cp:revision>43</cp:revision>
  <cp:lastPrinted>2021-08-31T14:24:00Z</cp:lastPrinted>
  <dcterms:created xsi:type="dcterms:W3CDTF">2021-08-19T16:40:00Z</dcterms:created>
  <dcterms:modified xsi:type="dcterms:W3CDTF">2021-09-29T15:02:00Z</dcterms:modified>
</cp:coreProperties>
</file>