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МЕТОДИЧЕСКИЕ УКАЗАНИЯ</w:t>
      </w:r>
    </w:p>
    <w:p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ПРИМЕНЕНИЮ ТИПОВ РЕЗУЛЬТАТОВ </w:t>
      </w:r>
      <w:r>
        <w:rPr>
          <w:rFonts w:ascii="Times New Roman" w:hAnsi="Times New Roman" w:cs="Times New Roman"/>
          <w:sz w:val="28"/>
          <w:szCs w:val="28"/>
        </w:rPr>
        <w:br/>
        <w:t xml:space="preserve">И ТИПОВ КОНТРОЛЬНЫХ ТОЧЕК ФЕДЕРАЛЬНЫХ </w:t>
      </w:r>
      <w:r>
        <w:rPr>
          <w:rFonts w:ascii="Times New Roman" w:hAnsi="Times New Roman" w:cs="Times New Roman"/>
          <w:sz w:val="28"/>
          <w:szCs w:val="28"/>
        </w:rPr>
        <w:br/>
        <w:t>И ВЕДОМСТВЕННЫХ ПРОЕКТОВ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I. Общие положения</w:t>
      </w:r>
    </w:p>
    <w:p>
      <w:pPr>
        <w:pStyle w:val="ConsPlusNormal"/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>Типы результатов и типы контрольных точек федеральных и ведомственных проектов (</w:t>
      </w:r>
      <w:hyperlink w:anchor="P63" w:history="1">
        <w:r>
          <w:rPr>
            <w:rFonts w:ascii="Times New Roman" w:hAnsi="Times New Roman" w:cs="Times New Roman"/>
            <w:sz w:val="28"/>
            <w:szCs w:val="28"/>
          </w:rPr>
          <w:t>Приложение № 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настоящим Методическим указаниям (далее - Приложение № 1) применяются при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подготовке федеральными органами исполнительной власти, иными органами и организациями паспортов федеральных проектов, рабочих планов федеральных проектов, паспортов ведомственных проектов и внесении в них изменений в соответствии с </w:t>
      </w:r>
      <w:hyperlink r:id="rId8" w:history="1">
        <w:r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31 октября 2018 г. № 1288 "Об организации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проектной деятельности в Правительстве Российской Федерации", а также при подготовке субъектами Российской Федерации паспортов региональных проектов, рабочих планов региональных проектов и внесении в них изменений.</w:t>
      </w:r>
    </w:p>
    <w:p>
      <w:pPr>
        <w:pStyle w:val="ConsPlusNormal"/>
        <w:spacing w:before="2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Применение типов результатов и типов контрольных точек федеральных, ведомственных и региональных проектов (далее вместе - проект) осуществляется с учетом:</w:t>
      </w:r>
    </w:p>
    <w:p>
      <w:pPr>
        <w:pStyle w:val="ConsPlusNormal"/>
        <w:spacing w:before="220"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необходимости отнесения каждого результата проекта к одному из типов результатов, предусмотренных </w:t>
      </w:r>
      <w:hyperlink w:anchor="P63" w:history="1">
        <w:r>
          <w:rPr>
            <w:rFonts w:ascii="Times New Roman" w:hAnsi="Times New Roman" w:cs="Times New Roman"/>
            <w:sz w:val="28"/>
            <w:szCs w:val="28"/>
          </w:rPr>
          <w:t>перечнем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типов результатов и типов специальных контрольных точек согласно приложению № 1 </w:t>
      </w:r>
      <w:r>
        <w:rPr>
          <w:rFonts w:ascii="Times New Roman" w:hAnsi="Times New Roman" w:cs="Times New Roman"/>
          <w:sz w:val="28"/>
          <w:szCs w:val="28"/>
        </w:rPr>
        <w:br/>
        <w:t>(далее - перечень типов результатов и типов специальных контрольных точек). В случае соответствия одного результата нескольким типам результатов такой результат следует разделить на отдельные взаимосвязанные результаты;</w:t>
      </w:r>
    </w:p>
    <w:p>
      <w:pPr>
        <w:pStyle w:val="ConsPlusTitle"/>
        <w:spacing w:after="120"/>
        <w:ind w:firstLine="53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б) установления, что по каждому типу результата проекта определяются типы контрольных точек, соответствующие типу результата  и предусмотренные перечнем типов результатов и типов специальных контрольных точек (далее - специальные контрольные точки), и типы контрольных точек, соответствующие условиям организации работ (видам расходов) и предусмотренные перечнем типов обеспечивающих контрольных точек согласно приложению № 1 (далее - обеспечивающие контрольные точки, перечень типов обеспечивающих контрольных точек), необходимые для достижения результата;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 обязательного включения в  паспорта проектов по каждому результату </w:t>
      </w:r>
      <w:r>
        <w:rPr>
          <w:rFonts w:ascii="Times New Roman" w:hAnsi="Times New Roman" w:cs="Times New Roman"/>
          <w:sz w:val="28"/>
          <w:szCs w:val="28"/>
        </w:rPr>
        <w:lastRenderedPageBreak/>
        <w:t>всех специальных и обеспечивающих контрольных точек; в случае, если для конкретного результата проекта не требуются отдельные специальные  и обеспечивающие контрольные точки, приводится соответствующий комментарий;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возможности включения в паспорта проектов по соответствующему результату кроме специальных и обеспечивающих контрольных точек дополнительных контрольных точек (в том числе из числа рекомендуемых типов дополнительных контрольных точек, определенных перечнем типов результатов и типов специальных контрольных точек);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д) обязательного использования в паспортах региональных проектов  специальных, обеспечивающих и дополнительных контрольных точек, отраженных в паспортах федеральных проектов по соответствующим результатам, значения которых декомпозированы по субъектам Российской Федерации;  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е) декомпозиции  результатов федеральных и региональных проектов по публично-правовым образованиям, обеспечивающим достижение соответствующего результата федерального или регионального проекта; декомпозиции результатов федеральных проектов, результатов ведомственных проектов и результатов региональных проектов (в том числе декомпозированных до публично-правовых образований) по организациям, обеспечивающим непосредственную реализацию соответствующего результата федерального, ведомственного, регионального проекта в рабочем плане федерального, регионального проекта и паспорте  ведомственного проекта; </w:t>
      </w:r>
      <w:proofErr w:type="gramEnd"/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 декомпозиции специальных контрольных точек, указанных по результатам проектов (в том числе декомпозированных до публично-правовых образований), по организациям в  рабочем плане федерального, регионального проекта и паспорте  ведомственного проекта;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 возможности дублирования одной или нескольких специальных контрольных точек в рамках одного результата проекта на каждом уровне их декомпозиции, в случае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необходимости выделения этапов реализации результатов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организации работ по достижению таких результатов;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 установления по обеспечивающим контрольным точкам количественных значений (при наличии) и сроков их реализации;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 возможности установления по специальным контрольным точкам количественных значений и сроков их реализации, не превышающих (не выходящих) за значения и сроки реализации результата проекта, а по декомпозированным контрольным точкам - количественных значений и сроков реализации контрольных точек до декомпозиции;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л) планирования контрольных точек по результатам проектов, достижение которых планируется в течение нескольких лет, исходя из необходимости указания количественных значений таких результатов по годам реализации проекта и соответствующих им контрольных точек в текущем году;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м) указания в наименовании контрольной точки дополнительной отраслевой или иной содержательной информации (наименование акта Правительства Российской Федерации, наименования и местонахождение объектов и пр.) с учетом типа контрольной точки; 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  целесообразности планирования не менее 6 контрольных точек в год на один результат проекта равномерно распределенных в течение года в соответствии с Методическими указаниями по разработке национальных проектов (программ), федеральных проектов и ведомственных проектов.</w:t>
      </w:r>
    </w:p>
    <w:p>
      <w:pPr>
        <w:pStyle w:val="ConsPlusNormal"/>
        <w:spacing w:before="220" w:after="12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Изменение типа результата по результату проекта допускается в случае:</w:t>
      </w:r>
    </w:p>
    <w:p>
      <w:pPr>
        <w:pStyle w:val="ConsPlusNormal"/>
        <w:spacing w:before="220" w:after="12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наступления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срока начала реализации специальных контрольных точек соответствующего результата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проекта (с учетом его декомпозиции);</w:t>
      </w:r>
    </w:p>
    <w:p>
      <w:pPr>
        <w:autoSpaceDE w:val="0"/>
        <w:autoSpaceDN w:val="0"/>
        <w:adjustRightInd w:val="0"/>
        <w:spacing w:after="12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наступления срока начала реализации и возникновения особых обстоятельств необходимости смены типа результата федерального (регионального) проекта, согласованных с проектным офисом Правительства Российской Федерации и Министерством финансов Российской Федерации (в отношении регионального проекта - с региональным проектным офисом и заместителем  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по истечении 10 рабочих дней с даты оповещения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участников реализации результата федерального (регионального) проекта о предстоящем изменении контрольных точек его реализации;</w:t>
      </w:r>
    </w:p>
    <w:p>
      <w:pPr>
        <w:pStyle w:val="ConsPlusNormal"/>
        <w:spacing w:before="220" w:after="12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наступления срока начала реализации результата и возникновения особых обстоятельств необходимости смены типа результата ведомственного проекта, согласованных с ведомственным проектным офисом и заместителем руководителя федерального органа исполнительной власти, ответственного за организацию проектной деятельности, по истечении 10 рабочих дней с даты оповещения всех участников реализации результата ведомственного проекта о предстоящем изменении контрольных точек его реализации.</w:t>
      </w:r>
      <w:proofErr w:type="gramEnd"/>
    </w:p>
    <w:p>
      <w:pPr>
        <w:pStyle w:val="ConsPlusNormal"/>
        <w:spacing w:after="12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after="120" w:line="360" w:lineRule="exac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after="12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Title"/>
        <w:spacing w:after="12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II. Указания по изменению типов</w:t>
      </w:r>
    </w:p>
    <w:p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результатов, специальных и обеспечивающих контрольных точек</w:t>
      </w:r>
    </w:p>
    <w:p>
      <w:pPr>
        <w:pStyle w:val="ConsPlusTitle"/>
        <w:spacing w:after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федеральных, ведомственных проектов</w:t>
      </w:r>
    </w:p>
    <w:p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ConsPlusNormal"/>
        <w:spacing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Изменение типов результатов, специальных и обеспечивающих контрольных точек осуществляется на основании предложений заинтересованных федеральных органов исполнительной власти, иных органов и организаций, являющихся ответственными за реализацию федеральных  или ведомственных проектов, подготовленных по форме в соответствии с </w:t>
      </w:r>
      <w:hyperlink r:id="rId9" w:history="1">
        <w:r>
          <w:rPr>
            <w:rFonts w:ascii="Times New Roman" w:hAnsi="Times New Roman" w:cs="Times New Roman"/>
            <w:sz w:val="28"/>
            <w:szCs w:val="28"/>
          </w:rPr>
          <w:t>Приложением № 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настоящим Методическим указаниям и официально направленных в проектный офис Правительства Российской Федерации (далее - предложение).</w:t>
      </w:r>
      <w:proofErr w:type="gramEnd"/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Предложения органов исполнительной власти субъектов Российской Федерации направляются в федеральный орган исполнительной власти, иной орган или организацию, ответственную за реализацию федерального проекта, для одобрения соответствующего предложения и направления в проектный офис Правительства Российской Федерации.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Внесение предложений по дополнению перечня типов результатов и типов специальных контрольных точек новым типом результата, без одновременного внесения предложений по добавлению соответствующих такому типу результата специальных контрольных точек, не допускается.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Проектный офис Правительства Российской Федерации осуществляет сбор и консолидацию предложений и обеспечивает внесение изменений в перечень типов результатов и типов специальных контрольных точек, перечень типов обеспечивающих контрольных точек (далее вместе - Перечни) не реже одного раза в год в целях ежегодной актуализации и планирования национальных, федеральных и ведомственных проектов в соответствии с  Положением об организации проектной деятельности в Правительстве Российской 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>, утвержденного постановлением Правительства Российской Федерации от 31 октября 2018 г. № 1288.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этих целях проектный офис Правительства Российской Федерации направляет предложения на рассмотрение в заинтересованные федеральные органы исполнительной власти и Министерство финансов Российской Федерации.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Заинтересованные федеральные органы исполнительной власти, Министерство финансов Российской Федерации рассматривают предложения в течение 10 рабочих дней со дня их получения и направляют в проектный офис Правительства Российской Федерации заключения о целесообразности </w:t>
      </w:r>
      <w:r>
        <w:rPr>
          <w:rFonts w:ascii="Times New Roman" w:hAnsi="Times New Roman" w:cs="Times New Roman"/>
          <w:sz w:val="28"/>
          <w:szCs w:val="28"/>
        </w:rPr>
        <w:lastRenderedPageBreak/>
        <w:t>или нецелесообразности учета предложений. В случае получения от заинтересованных федеральных органов исполнительной власти и Министерства финансов Российской Федерации заключений о целесообразности и заключений о нецелесообразности учета предложений, проектный офис Правительства Российской Федерации осуществляет организацию совещания в целях выработки согласованного решения. По результатам проведения указанного совещания предложения могут быть скорректированы, в том числе по предложению проектного офиса Правительства Российской Федерации.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Предложения, по которым получены заключения о целесообразности их учета от проектного офиса Правительства Российской Федерации, всех заинтересованных федеральных органов исполнительной власти и Министерства финансов Российской Федерации или по которым принято соответствующее решение по результатам совещания, вносятся проектным офисом Правительства Российской Федерации  для рассмотрения в президиум Совета при Президенте Российской Федерации по стратегическому развитию и национальным проектам (далее - президиум Совета).</w:t>
      </w:r>
      <w:proofErr w:type="gramEnd"/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Предложения по внесению изменений в перечень типов результатов и типов специальных контрольных точек в части типов результатов, утвержденные президиумом Совета, применяются с учетом следующих особенностей: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в случае дополнения перечня типов результатов и типов специальных контрольных точек новым типом результата, новый тип результата используется только для вновь включаемых в проект результатов;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исключения типа результата использование такого типа результата по уже реализуемым результатам проектов осуществляется до истечения срока их реализации, при этом данный тип результата не применяется для вновь включаемых в федеральный или ведомственный проект результатов;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случае изменения наименования типа результата, его использование осуществляется со дня, следующего за днем утверждения президиумом Совета соответствующих предложений по внесению изменений;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изменения не применяются к результатам проектов (с учетом декомпозиции), реализация которых завершена.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Предложения по внесению изменений в Перечни в части типов контрольных точек, утвержденные президиумом Совета, применяются с учетом следующих особенностей: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7"/>
      <w:bookmarkEnd w:id="1"/>
      <w:r>
        <w:rPr>
          <w:rFonts w:ascii="Times New Roman" w:hAnsi="Times New Roman" w:cs="Times New Roman"/>
          <w:sz w:val="28"/>
          <w:szCs w:val="28"/>
        </w:rPr>
        <w:t xml:space="preserve">а) изменения не применяются к результатам проектов (с учетом </w:t>
      </w:r>
      <w:r>
        <w:rPr>
          <w:rFonts w:ascii="Times New Roman" w:hAnsi="Times New Roman" w:cs="Times New Roman"/>
          <w:sz w:val="28"/>
          <w:szCs w:val="28"/>
        </w:rPr>
        <w:lastRenderedPageBreak/>
        <w:t>декомпозиции), реализация которых завершена, а также к отдельным контрольным точкам, достигнутым на момент утверждения соответствующих изменений;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случае дополнения Перечней новыми  типами контрольных точек, такие типы контрольных точек применяются для вновь включаемых результатов проектов с соответствующим типом результата или могут быть включены в паспорт проекта по истечении десяти рабочих дней со дня оповещения о них всех участников реализации результата проекта;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в случае исключения из Перечней отдельных типов контрольных точек, такие типы  контрольных точек определяются в паспортах проектов как дополнительные контрольные точки (за исключением результатов и контрольных точек, указанных в </w:t>
      </w:r>
      <w:hyperlink w:anchor="P47" w:history="1">
        <w:r>
          <w:rPr>
            <w:rFonts w:ascii="Times New Roman" w:hAnsi="Times New Roman" w:cs="Times New Roman"/>
            <w:sz w:val="28"/>
            <w:szCs w:val="28"/>
          </w:rPr>
          <w:t>абзаце втором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пункта) по истечении десяти рабочих дней со дня утверждения соответствующих предложений президиумом Совета;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в случае изменения наименования типа специальной или обеспечивающей контрольной точки его применение осуществляется со дня, следующего за днем одобрения президиумом Совета, соответствующих предложений по внесению изменений.</w:t>
      </w:r>
    </w:p>
    <w:p>
      <w:pPr>
        <w:pStyle w:val="ConsPlusNormal"/>
        <w:spacing w:before="220" w:after="1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Внесение изменений в проекты, связанные с изменениями, внесенными в Перечни, а также с изменениями ранее выбранных типов результатов по результатам проектов, осуществляется в установленном порядке.</w:t>
      </w:r>
    </w:p>
    <w:p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573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b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6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Revision"/>
    <w:hidden/>
    <w:uiPriority w:val="99"/>
    <w:semiHidden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character" w:styleId="a5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Pr>
      <w:b/>
      <w:bCs/>
      <w:sz w:val="20"/>
      <w:szCs w:val="20"/>
    </w:rPr>
  </w:style>
  <w:style w:type="paragraph" w:styleId="aa">
    <w:name w:val="Revision"/>
    <w:hidden/>
    <w:uiPriority w:val="99"/>
    <w:semiHidden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B1612E11F774719078FA7D194DB57AD4B85ADC55E421575DC479ED5CB4C464E7F4755816E1E9DF942627C2FE4E1BE30B7B9DE7DC9216BC8P7m7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B1612E11F774719078FA7D194DB57AD4B84ADC25F421575DC479ED5CB4C464E7F4755816E1E9FFA4B627C2FE4E1BE30B7B9DE7DC9216BC8P7m7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5B1AD-44E1-46B3-87B8-12529605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5665</TotalTime>
  <Pages>6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defusr</dc:creator>
  <cp:lastModifiedBy>Мальков А.С.</cp:lastModifiedBy>
  <cp:revision>44</cp:revision>
  <cp:lastPrinted>2021-08-31T13:27:00Z</cp:lastPrinted>
  <dcterms:created xsi:type="dcterms:W3CDTF">2021-08-25T12:53:00Z</dcterms:created>
  <dcterms:modified xsi:type="dcterms:W3CDTF">2021-08-31T16:43:00Z</dcterms:modified>
</cp:coreProperties>
</file>